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872E2">
        <w:rPr>
          <w:rFonts w:ascii="Arial" w:hAnsi="Arial" w:cs="Arial"/>
          <w:b/>
          <w:sz w:val="26"/>
          <w:szCs w:val="26"/>
        </w:rPr>
        <w:t>Are technological projects reducing social</w:t>
      </w:r>
      <w:r w:rsidR="005872E2" w:rsidRPr="005872E2">
        <w:rPr>
          <w:rFonts w:ascii="Arial" w:hAnsi="Arial" w:cs="Arial"/>
          <w:b/>
          <w:sz w:val="26"/>
          <w:szCs w:val="26"/>
        </w:rPr>
        <w:t xml:space="preserve"> </w:t>
      </w:r>
      <w:r w:rsidRPr="005872E2">
        <w:rPr>
          <w:rFonts w:ascii="Arial" w:hAnsi="Arial" w:cs="Arial"/>
          <w:b/>
          <w:sz w:val="26"/>
          <w:szCs w:val="26"/>
        </w:rPr>
        <w:t>inequalities and improving people’s well-being</w:t>
      </w:r>
      <w:proofErr w:type="gramStart"/>
      <w:r w:rsidRPr="005872E2">
        <w:rPr>
          <w:rFonts w:ascii="Arial" w:hAnsi="Arial" w:cs="Arial"/>
          <w:b/>
          <w:sz w:val="26"/>
          <w:szCs w:val="26"/>
        </w:rPr>
        <w:t>?</w:t>
      </w:r>
      <w:proofErr w:type="gramEnd"/>
      <w:r w:rsidR="005872E2" w:rsidRPr="005872E2">
        <w:rPr>
          <w:rFonts w:ascii="Arial" w:hAnsi="Arial" w:cs="Arial"/>
          <w:b/>
          <w:sz w:val="26"/>
          <w:szCs w:val="26"/>
        </w:rPr>
        <w:t xml:space="preserve"> </w:t>
      </w:r>
      <w:r w:rsidRPr="005872E2">
        <w:rPr>
          <w:rFonts w:ascii="Arial" w:hAnsi="Arial" w:cs="Arial"/>
          <w:b/>
          <w:sz w:val="26"/>
          <w:szCs w:val="26"/>
        </w:rPr>
        <w:t>A capability approach analysis of renewable</w:t>
      </w:r>
      <w:r w:rsidR="005872E2" w:rsidRPr="005872E2">
        <w:rPr>
          <w:rFonts w:ascii="Arial" w:hAnsi="Arial" w:cs="Arial"/>
          <w:b/>
          <w:sz w:val="26"/>
          <w:szCs w:val="26"/>
        </w:rPr>
        <w:t xml:space="preserve"> </w:t>
      </w:r>
      <w:r w:rsidRPr="005872E2">
        <w:rPr>
          <w:rFonts w:ascii="Arial" w:hAnsi="Arial" w:cs="Arial"/>
          <w:b/>
          <w:sz w:val="26"/>
          <w:szCs w:val="26"/>
        </w:rPr>
        <w:t>energy-based electrification projects in</w:t>
      </w:r>
      <w:r w:rsidR="005872E2" w:rsidRPr="005872E2">
        <w:rPr>
          <w:rFonts w:ascii="Arial" w:hAnsi="Arial" w:cs="Arial"/>
          <w:b/>
          <w:sz w:val="26"/>
          <w:szCs w:val="26"/>
        </w:rPr>
        <w:t xml:space="preserve"> </w:t>
      </w:r>
      <w:r w:rsidRPr="005872E2">
        <w:rPr>
          <w:rFonts w:ascii="Arial" w:hAnsi="Arial" w:cs="Arial"/>
          <w:b/>
          <w:sz w:val="26"/>
          <w:szCs w:val="26"/>
        </w:rPr>
        <w:t>Cajamarca, Peru</w:t>
      </w:r>
      <w:r w:rsidR="005872E2" w:rsidRPr="005872E2">
        <w:rPr>
          <w:rFonts w:ascii="Arial" w:hAnsi="Arial" w:cs="Arial"/>
          <w:b/>
          <w:sz w:val="26"/>
          <w:szCs w:val="26"/>
        </w:rPr>
        <w:t>.</w:t>
      </w:r>
    </w:p>
    <w:p w:rsidR="00C36E58" w:rsidRPr="00240335" w:rsidRDefault="00C36E58" w:rsidP="00240335">
      <w:pPr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  <w:b/>
        </w:rPr>
      </w:pPr>
      <w:r w:rsidRPr="00240335">
        <w:rPr>
          <w:rFonts w:ascii="Arial" w:hAnsi="Arial" w:cs="Arial"/>
          <w:b/>
        </w:rPr>
        <w:t>Á</w:t>
      </w:r>
      <w:r w:rsidR="00240335">
        <w:rPr>
          <w:rFonts w:ascii="Arial" w:hAnsi="Arial" w:cs="Arial"/>
          <w:b/>
        </w:rPr>
        <w:t>lvaro Fernández-Baldor</w:t>
      </w:r>
      <w:r w:rsidRPr="00240335">
        <w:rPr>
          <w:rFonts w:ascii="Arial" w:hAnsi="Arial" w:cs="Arial"/>
          <w:b/>
        </w:rPr>
        <w:t xml:space="preserve">*, </w:t>
      </w:r>
      <w:r w:rsidR="00240335">
        <w:rPr>
          <w:rFonts w:ascii="Arial" w:hAnsi="Arial" w:cs="Arial"/>
          <w:b/>
        </w:rPr>
        <w:t>Alejandra Boni</w:t>
      </w:r>
      <w:r w:rsidRPr="00240335">
        <w:rPr>
          <w:rFonts w:ascii="Arial" w:hAnsi="Arial" w:cs="Arial"/>
          <w:b/>
        </w:rPr>
        <w:t xml:space="preserve">*, </w:t>
      </w:r>
      <w:r w:rsidR="00240335">
        <w:rPr>
          <w:rFonts w:ascii="Arial" w:hAnsi="Arial" w:cs="Arial"/>
          <w:b/>
        </w:rPr>
        <w:t>Pau Lillo</w:t>
      </w:r>
      <w:r w:rsidRPr="00240335">
        <w:rPr>
          <w:rFonts w:ascii="Arial" w:hAnsi="Arial" w:cs="Arial"/>
          <w:b/>
        </w:rPr>
        <w:t xml:space="preserve">** </w:t>
      </w:r>
      <w:r w:rsidR="00240335">
        <w:rPr>
          <w:rFonts w:ascii="Arial" w:hAnsi="Arial" w:cs="Arial"/>
          <w:b/>
        </w:rPr>
        <w:t>and Andrés Hueso</w:t>
      </w:r>
      <w:r w:rsidRPr="00240335">
        <w:rPr>
          <w:rFonts w:ascii="Arial" w:hAnsi="Arial" w:cs="Arial"/>
          <w:b/>
        </w:rPr>
        <w:t>*</w:t>
      </w:r>
    </w:p>
    <w:p w:rsidR="00C36E58" w:rsidRPr="005872E2" w:rsidRDefault="00C36E58" w:rsidP="00240335">
      <w:pPr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*Studies Group on Development, Universitat Politècnica de València, Valencia, Spain</w:t>
      </w:r>
    </w:p>
    <w:p w:rsidR="00C36E58" w:rsidRPr="005872E2" w:rsidRDefault="00C36E58" w:rsidP="00240335">
      <w:pPr>
        <w:autoSpaceDE w:val="0"/>
        <w:autoSpaceDN w:val="0"/>
        <w:adjustRightInd w:val="0"/>
        <w:spacing w:after="120" w:line="240" w:lineRule="exact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**Project Engineering, Engineering Without Borders, Valencia, Spain</w:t>
      </w:r>
    </w:p>
    <w:p w:rsidR="00240335" w:rsidRDefault="00240335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:rsidR="00240335" w:rsidRDefault="00240335" w:rsidP="00240335">
      <w:pPr>
        <w:tabs>
          <w:tab w:val="left" w:pos="8504"/>
        </w:tabs>
        <w:jc w:val="both"/>
      </w:pPr>
      <w:r>
        <w:t>July 2013</w:t>
      </w:r>
      <w:r>
        <w:t xml:space="preserve"> </w:t>
      </w:r>
      <w:r>
        <w:t>final version</w:t>
      </w:r>
      <w:r>
        <w:t xml:space="preserve"> of a paper </w:t>
      </w:r>
      <w:r>
        <w:t>which was</w:t>
      </w:r>
      <w:r>
        <w:t xml:space="preserve"> published in 201</w:t>
      </w:r>
      <w:r w:rsidR="00D74070">
        <w:t>4</w:t>
      </w:r>
      <w:bookmarkStart w:id="0" w:name="_GoBack"/>
      <w:bookmarkEnd w:id="0"/>
      <w:r>
        <w:t xml:space="preserve"> in the Journal of </w:t>
      </w:r>
      <w:r>
        <w:t>Human Development</w:t>
      </w:r>
      <w:r>
        <w:t xml:space="preserve"> and Capabilities, </w:t>
      </w:r>
      <w:r>
        <w:t xml:space="preserve">15 </w:t>
      </w:r>
      <w:r>
        <w:t>(</w:t>
      </w:r>
      <w:r>
        <w:t>1</w:t>
      </w:r>
      <w:r>
        <w:t xml:space="preserve">), </w:t>
      </w:r>
      <w:r>
        <w:t>13-27.</w:t>
      </w:r>
    </w:p>
    <w:p w:rsidR="00240335" w:rsidRDefault="00240335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:rsidR="005872E2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5872E2">
        <w:rPr>
          <w:rFonts w:ascii="Arial" w:hAnsi="Arial" w:cs="Arial"/>
          <w:b/>
        </w:rPr>
        <w:t xml:space="preserve">ABSTRACT 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This paper analyses four renewable energy-based electrification projects that were implemented by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non-governmental organization Practical Action in the rural area of Cajamarca, Peru. Using the capability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approach, the research examines the effect of the projects on the things people value. It confirms that projects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provide different benefits to the communities (reducing air pollution caused by candles and kerosene, improving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access to communication through television and radio, providing the possibility of night study under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appropriate light, etc.), but also detects an expansion of the capabilities in other areas not considered by the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non-governmental organization such as those related to religion, leisure or community participation. However,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expansion of capabilities is different for men and women. The study reveals the limitations of interventions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designed to supply technology, electrification in this particular case, which do not take into account certain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elements that can make the use of technology contribute unequally to the expansion of people’s capabilities.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paper concludes that technological projects can generate inequalities, and some recommendations are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presented in order to address these issues when planning interventions.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  <w:b/>
        </w:rPr>
        <w:t>KEYWORDS</w:t>
      </w:r>
      <w:r w:rsidRPr="005872E2">
        <w:rPr>
          <w:rFonts w:ascii="Arial" w:hAnsi="Arial" w:cs="Arial"/>
        </w:rPr>
        <w:t>: Off-grid electrification, Project planning, Capabilities, Gender, Peru</w:t>
      </w:r>
    </w:p>
    <w:p w:rsidR="005872E2" w:rsidRPr="005872E2" w:rsidRDefault="005872E2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72E2">
        <w:rPr>
          <w:rFonts w:ascii="Arial" w:hAnsi="Arial" w:cs="Arial"/>
          <w:b/>
          <w:sz w:val="24"/>
          <w:szCs w:val="24"/>
        </w:rPr>
        <w:t>1. Introduction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Technological cooperation projects that provide goods or basic services to improve the well-being of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people are generally welcomed by rural settlements. Who does not want to </w:t>
      </w:r>
      <w:r w:rsidRPr="005872E2">
        <w:rPr>
          <w:rFonts w:ascii="Arial" w:hAnsi="Arial" w:cs="Arial"/>
        </w:rPr>
        <w:lastRenderedPageBreak/>
        <w:t xml:space="preserve">have a drinking </w:t>
      </w:r>
      <w:r w:rsidR="005872E2" w:rsidRPr="005872E2">
        <w:rPr>
          <w:rFonts w:ascii="Arial" w:hAnsi="Arial" w:cs="Arial"/>
        </w:rPr>
        <w:t xml:space="preserve">wáter </w:t>
      </w:r>
      <w:r w:rsidRPr="005872E2">
        <w:rPr>
          <w:rFonts w:ascii="Arial" w:hAnsi="Arial" w:cs="Arial"/>
        </w:rPr>
        <w:t>supply or electricity in their community? It is for this reason that donors, non-governmental organizations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(NGOs) and other stakeholders in the International Development Cooperation System </w:t>
      </w:r>
      <w:r w:rsidR="005872E2" w:rsidRPr="005872E2">
        <w:rPr>
          <w:rFonts w:ascii="Arial" w:hAnsi="Arial" w:cs="Arial"/>
        </w:rPr>
        <w:t xml:space="preserve">dedícate </w:t>
      </w:r>
      <w:r w:rsidRPr="005872E2">
        <w:rPr>
          <w:rFonts w:ascii="Arial" w:hAnsi="Arial" w:cs="Arial"/>
        </w:rPr>
        <w:t>a considerable amount of their aid to basic infrastructure technological projects.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However, transferring the benefits of technology to society is not an easy task, especially in complex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environments such as the least-developed areas of the world where there are many different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considerations to be taken into account when planning a project. Development aid interventions have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generally implemented technology strictly as a necessary tool for development. In practice, the projects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focused on supplying technological assets or services. This is precisely their main limitation: focusing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only on technology instead of focusing on people, thus missing the project’s potential for social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transformation.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Instead, can we imagine technological development projects not only as a means to provide an asset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or service, but also as a tool for helping people to shape their own lives and for reducing inequalities?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This is the question we are trying to address in this article, analysing four technological interventions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through the lens of the capability approach (CA). Specifically, the investigation looks at four renewable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energy-based electrification projects in the rural area of Cajamarca in Peru. The four cases are off-grid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projects with a communal management model and were implemented by the NGO Practical Action.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article is organized as follows: firstly, we analyse the paradigms that have been framing technological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intervention in the development sector, and particularly focus on those currently used by Practical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Action in their projects, such as appropriate technologies and the sustainable livelihoods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framework. Secondly, we analyse the contributions of the CA to technological interventions building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upon these approaches. Then we present an ad hoc methodology for analysing rural electrification projects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from the perspective of the CA. Lastly, we discuss the research results and suggest recommendations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for the planning of development projects.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72E2">
        <w:rPr>
          <w:rFonts w:ascii="Arial" w:hAnsi="Arial" w:cs="Arial"/>
          <w:b/>
          <w:sz w:val="24"/>
          <w:szCs w:val="24"/>
        </w:rPr>
        <w:t>2. The Need for People-centred Technology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first development projects within the framework of the International Cooperation System go back to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period prior to the Second World War. Productive investment, economic development and industrialization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were at the centre of the debate and of the later process that would facilitate the transition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from underdevelopment to development (Griffin 1991; Unceta 1996).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lastRenderedPageBreak/>
        <w:t>This vision of development as economic growth permeated and changed the methods of international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cooperation: technology was progress, and progress should be transferred to underdeveloped countries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get them out of poverty. The objective was to take industrial development to places where it was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absent (Griffin 1991). The projects were the main means for providing aid and they were designed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top-down, giving priority to technological and infrastructure investment over other sectors (Robb 2004).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In the 1970 s the Appropriate Technology Movement (Herrera 1983) emerged as a result of the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concern for environmental sustainability and the impact of the modernization and technology transfer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model on the South. In fact, the origin of the Appropriate Technology concept goes back to Gandhi in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colonial India (Motta 1996), who advocated a decentralized system of production, in opposition to the</w:t>
      </w:r>
      <w:r w:rsidR="005872E2" w:rsidRP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modernization imposed by the British Crown. But it was the economist E. F. Schumacher who introduced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concept in the western world. In his work, he proposed the economic and social development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rural areas to avoid mass migration to the cities, through the creation of small-scale industry: not too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economically intensive, giving priority to employment opportunities over productivity, valuing the productive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capacity of traditional sectors and not generating external dependencies through complexity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(Schumacher 1973).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implementation of Appropriate Technologies sought to address technological development by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bringing back old or unused technologies, improving them where necessary. It implied the simplification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modern technologies, the adoption of appropriate technology used in other countries or the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invention of new appropriate technologies. The objective of the interventions was to provide a technological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solution adapted to a specific context that was also cheap and simple. The communities were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meant to participate in the different phases of the project, but their role is confined to unskilled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work, with the engineer as the person in charge of adapting the technology to the community.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NGO Practical Action was created by E. F. Schumacher in the 1960 s and has been working ever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since on Appropriate Technologies. However, Practical Action takes into consideration the debate about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 and its complexity. For this reason it complements the use of Appropriate Technologies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with other approaches and methods such as the sustainable livelihoods framework (SLF).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Chambers and Conway (1991, 6) defined livelihood as “[…] the capabilities, assets (stores,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resources, claims and access) and activities required for a means of living.” The SLF suggests that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family living strategies depend on a wide range of factors (human, </w:t>
      </w:r>
      <w:r w:rsidRPr="005872E2">
        <w:rPr>
          <w:rFonts w:ascii="Arial" w:hAnsi="Arial" w:cs="Arial"/>
        </w:rPr>
        <w:lastRenderedPageBreak/>
        <w:t>social, political, economical, material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natural) where sustainability means the ability of the family to recover from adversity; their autonomy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from external support; their resources productivity maintenance; and the absence of negative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effects on their own or others’ means of living.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In the region of Cajamarca, Peru, the NGO Practical Action combines both approaches: the electrification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projects are implemented using Appropriate Technologies (renewable energies, low cost, local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production, simple technology, etc.) combined with the intention of supporting the livelihoods of rural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families. However, as can be observed in our research, a weakness in the work of Practical Action in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Peru is that they were focused on the implementation and management of the asset or technological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service instead of focusing on people. On one hand, the technologies are appropriate, but the projects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do not try to empower people during the process, missing its transforming potential. On the other hand</w:t>
      </w:r>
      <w:r w:rsidR="005872E2" w:rsidRPr="005872E2">
        <w:rPr>
          <w:rFonts w:ascii="Arial" w:hAnsi="Arial" w:cs="Arial"/>
        </w:rPr>
        <w:t>,</w:t>
      </w:r>
      <w:r w:rsidR="005872E2">
        <w:rPr>
          <w:rFonts w:ascii="Arial" w:hAnsi="Arial" w:cs="Arial"/>
        </w:rPr>
        <w:t xml:space="preserve"> whilst</w:t>
      </w:r>
      <w:r w:rsidRPr="005872E2">
        <w:rPr>
          <w:rFonts w:ascii="Arial" w:hAnsi="Arial" w:cs="Arial"/>
        </w:rPr>
        <w:t xml:space="preserve"> considering the household as the intervention unit, the SLF does not analyse what goes on inside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them. Therefore, one of the limitations of the approach is the impossibility to analyse intra-household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inequalities caused by the asset or technological service. This is particularly relevant regarding gender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inequalities within families. As we will explain in the article, electrification can cause extra work for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women and reinforce their reproductive role.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In this respect, we consider the CA to have great potential to complement the approaches used by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Practical Action, providing information about the implications of the use of technology in relation to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real options available to the beneficiaries of electrification projects.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72E2">
        <w:rPr>
          <w:rFonts w:ascii="Arial" w:hAnsi="Arial" w:cs="Arial"/>
          <w:b/>
          <w:sz w:val="24"/>
          <w:szCs w:val="24"/>
        </w:rPr>
        <w:t>3. Contributions of the Capability Approach to Technological Projects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872E2">
        <w:rPr>
          <w:rFonts w:ascii="Arial" w:hAnsi="Arial" w:cs="Arial"/>
          <w:i/>
          <w:sz w:val="24"/>
          <w:szCs w:val="24"/>
        </w:rPr>
        <w:t>3.1 Development as the Process of Expansion of Real Freedom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According to the CA, the main purpose of development is to expand people’s choices or, in other words,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create an enabling environment for people to enjoy long, healthy and creative lives. Therefore the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information basis for measuring development is people’s capabilities to lead the lives they have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reason to value (Sen 1999). Capabilities refer to the various combinations of functionings that a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person can achieve. The functionings are the different states or activities that a person values being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or doing. The fundamental difference between capabilities and functionings is that capabilities represent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full range of possible (achievable) functionings a person can choose from. In other words, a person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can have certain capabilities (enjoy different freedoms) but choose to use them </w:t>
      </w:r>
      <w:r w:rsidRPr="005872E2">
        <w:rPr>
          <w:rFonts w:ascii="Arial" w:hAnsi="Arial" w:cs="Arial"/>
        </w:rPr>
        <w:lastRenderedPageBreak/>
        <w:t>or not. These choices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depend on the individual’s context, personality, life history and other factors (Robeyns 2005). Therefore,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 main goal of the CA is to capture the importance of human diversity in judging advantage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(Robeyns 2000): “The ability to deal with the conversion of commodity characteristics into functionings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is a central tenet of Robeyns’ (2000) claim that Sen’s framework is sensitive to the attributes of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individuals (intelligence, metabolism, etc.) and societies (gender roles, institutions, etc.)” (Iversen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2003, 104).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Sen does not define poverty as a lack of means (such as income or goods) that produces a result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depending on people and contexts. Neither can we call poor those people who have not satisfied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their preferences because these depend on the opportunities society offers and can also be manipulated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(Teschl and Comim 2005). According to this approach, poverty primarily involves lack of freedom to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fulfil the life plans one has reason to value. This is the most interesting part of this approach: not considering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goods and services as well-being in their own right. According to Sen (1999, xii): “Development</w:t>
      </w:r>
      <w:r w:rsidR="005872E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consists of the removal of various types of unfreedoms that leave people with little choice and </w:t>
      </w:r>
      <w:r w:rsidR="005872E2">
        <w:rPr>
          <w:rFonts w:ascii="Arial" w:hAnsi="Arial" w:cs="Arial"/>
        </w:rPr>
        <w:t xml:space="preserve">Little </w:t>
      </w:r>
      <w:r w:rsidRPr="005872E2">
        <w:rPr>
          <w:rFonts w:ascii="Arial" w:hAnsi="Arial" w:cs="Arial"/>
        </w:rPr>
        <w:t>opportunity of exercising their reasoned agency.”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Agency is a key concept of the approach and is directly related to the transforming role that development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projects can play (Crocker 2008). Sen understands agency as “what a person is free to do and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achieve in pursuit of whatever goals or values he or she regards as important” (1985, 206). So, people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who enjoy high levels of agency are engaged in actions that are congruent with their values (Alkire</w:t>
      </w:r>
      <w:r w:rsidR="0040460C">
        <w:rPr>
          <w:rFonts w:ascii="Arial" w:hAnsi="Arial" w:cs="Arial"/>
        </w:rPr>
        <w:t xml:space="preserve">, </w:t>
      </w:r>
      <w:r w:rsidRPr="005872E2">
        <w:rPr>
          <w:rFonts w:ascii="Arial" w:hAnsi="Arial" w:cs="Arial"/>
        </w:rPr>
        <w:t>2008). The concept of agency becomes especially relevant within the CA, as development is seen as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process of expansion of the real freedoms that people enjoy (Sen 1999). The more agency, the more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ability there is for people to help themselves and to influence the world—both of which are key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issues in development processes.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It is interesting to highlight the difference between well-being and agency in the CA. Well-being generally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relates to personal satisfaction (e.g. how we feel when we help other people, or taste something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pleasant). Agency refers to important personal goals regardless of their effect on the person’s well-being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(Sen 1992, 1999). The difference between agency and well-being is therefore that the former concerns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not only the goals and objectives that satisfy a person, but all of the goals and objectives one considers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important.</w:t>
      </w:r>
    </w:p>
    <w:p w:rsidR="00C36E58" w:rsidRPr="0040460C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0460C">
        <w:rPr>
          <w:rFonts w:ascii="Arial" w:hAnsi="Arial" w:cs="Arial"/>
          <w:i/>
          <w:sz w:val="24"/>
          <w:szCs w:val="24"/>
        </w:rPr>
        <w:t>3.2 A framework to Analyse Gender Inequalities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lastRenderedPageBreak/>
        <w:t>According to Nussbaum (2003), capabilities can help us construct a normative conception of social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justice with critical potential for gender issues. But, why is the approach especially relevant for analysing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gender issues? Sen gives the answer, stating that the focus of evaluations and judgements should be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real choices people have, and not only the resources available: “the question of gender inequality…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can be understood much better by comparing those things that intrinsically matter (such as functionings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capabilities), rather than just the means [to achieve them] like…resources” (1992, 125). Gasper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Van Staveren (2003) provide an example: a woman can be free to qualify for a public post, but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it is possible that her commitments and family care responsibilities prevent her from doing so. So it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is not a real option to her. The challenge is for men to assume domestic chores to create a real possibility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(positive freedom) for women. Women have the potential to become capable, so that is why their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unequal failure in capability is, in Nussbaum (2000) words, a problem of justice.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Robeyns (2008, 2003) analyses the strengths and weaknesses of the CA in addressing gender issues.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first advantage, according to her, is the focus on individuals: capabilities and functionings are properties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individuals, so the units of normative judgement are individuals, not households or communities.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This point is important for analysing gender inequalities since women’s well-being cannot be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subsumed under wider entities. The second advantage is the inclusion of non-market dimensions of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well-being, such as care labour or household work. Women are spending much more time outside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market economy than men, so the inclusion of these aspects in our normative analysis will reveal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complexities in the distribution of well-being that an analysis of income alone cannot capture.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third advantage is that the approach acknowledges human diversity: the conversion of commodities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into functionings can differ between people. Thus by conceptualizing gender inequality in the space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functionings and capabilities, there is more scope to account for human diversity, including gender.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However, the main weakness of the CA in analysing gender inequalities is its underspecified nature.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As Robeyns (2008) stresses, additional theories are needed, and the selection of these theories can influence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outcome. From her point of view, different capability assessments can be made depending on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supplementary theory used. Thus, it is important to be aware that “the capability approach is vulnerable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androcentric interpretations and applications” (Robeyns 2003, 67). Instead, a feminist capability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account would use a rich theory of gender to address gender inequalities in the conversion of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resources into capabilities, and gender inequalities in the </w:t>
      </w:r>
      <w:r w:rsidRPr="005872E2">
        <w:rPr>
          <w:rFonts w:ascii="Arial" w:hAnsi="Arial" w:cs="Arial"/>
        </w:rPr>
        <w:lastRenderedPageBreak/>
        <w:t>capabilities sets, as well as how gender interacts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with choice and personal responsibility (Robeyns 2008).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 complete analysis of gender inequality should also examine which inequalities in resources cause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gender inequalities in capabilities and functionings. For example, Bina Agarwal (1994, 1455) has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argued, in the context of South Asia, that “the ownership and control of property is the single most critical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contributor to the gender gap in economic well-being, social status and empowerment.”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Moreover, Iversen (2003) points out that power inequality in the household affects the opportunities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of the family members to achieve well-being and may even distort their preferences. The same </w:t>
      </w:r>
      <w:r w:rsidR="0040460C">
        <w:rPr>
          <w:rFonts w:ascii="Arial" w:hAnsi="Arial" w:cs="Arial"/>
        </w:rPr>
        <w:t xml:space="preserve">autor </w:t>
      </w:r>
      <w:r w:rsidRPr="005872E2">
        <w:rPr>
          <w:rFonts w:ascii="Arial" w:hAnsi="Arial" w:cs="Arial"/>
        </w:rPr>
        <w:t>mentions that in traditional societies, women may sacrifice their notion of well-being for the sake of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household.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This point, that of the adaptive preferences, is seen by many scholars of the CA as Sen’s main argument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against utilitarianism (see, for example, Teschl and Comim 2005; Qizilbash 2006; Robeyns 2008;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Clark 2012). Sen (1985, 1992) criticizes approaches that measure well-being in terms of utility. According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Sen, unfavourable circumstances can make allies out of the disadvantaged and deprived in so far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as they “learn to take pleasure in small mercies and cut down their desires to modest—‘realistic’ proportions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 order to avoid bitter disappointment” (1992, 55). For Clark (2012), adapting to what is feasible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may be a good thing in as much as it reduces the amount of suffering and misery associated with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objectively straitened circumstances. For Sen, the propensity to minimize difficulties and enjoy small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breaks “is one way of being able to live peacefully with persistent deprivation” (2009, 283). In this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regard, Qizilbash (1997) states that people may adjust to deprivation and hardship by developing “compensating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abilities.” He illustrates it by giving an example: women might compensate for their perceived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disadvantage in career prospects by working harder than men.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If people learn to adapt to their limited opportunities, for Sen it would be “ethically deeply mistaken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attach a correspondingly small value to the loss of well-being because of this survival strategy,” and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he suggests that “the metric of happiness may, therefore, distort the extent of deprivation in a specific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biased way” (Sen 1987, 45). Thus, to evaluate people’s well-being in terms of capabilities and functionings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guarantees a more objective picture of people’s life.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For Nussbaum (2000), preferences are not exogenous; unequal social and political circumstances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give women unequal human capabilities: “Burdened, often, with the ‘double day’ of taxing employment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and full responsibility for housework and child care, </w:t>
      </w:r>
      <w:r w:rsidRPr="005872E2">
        <w:rPr>
          <w:rFonts w:ascii="Arial" w:hAnsi="Arial" w:cs="Arial"/>
        </w:rPr>
        <w:lastRenderedPageBreak/>
        <w:t>they lack opportunities for play and the cultivation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their imaginative and cognitive faculties” (2000, 220). Thus, she suggests that they may be under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considerable social pressure to say they are satisfied despite the lack of these things. Clark’s (2002)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experience from fieldwork in South Africa advocates that while the poor often report high levels of happiness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(implying adaptation in terms of subjective well-being), they are still capable of imagining and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demanding a substantially better form of life.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In short, the concepts of functionings and capabilities enable us to analyse the situation and position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women from the angle of their levels of objective well-being. So we argue that the CA offers a unique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framework to identify gender inequalities and to provide solutions, capable of giving good guidance to a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NGO or government for assessing the quality of life.</w:t>
      </w:r>
    </w:p>
    <w:p w:rsidR="00C36E58" w:rsidRPr="0040460C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0460C">
        <w:rPr>
          <w:rFonts w:ascii="Arial" w:hAnsi="Arial" w:cs="Arial"/>
          <w:i/>
          <w:sz w:val="24"/>
          <w:szCs w:val="24"/>
        </w:rPr>
        <w:t>3.3 Technological Aid Projects, Gender and the Capability Approach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introduction of technology in communities is not a neutral action and, as pointed out by MKenda-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Mugittu (2003, 462), “the impact of introducing new technologies is generally negative on women’s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work burdens and serves simply to reinforce their subordinate status and position relative to men.”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Appropriate Technologies approach does not deal with this issue because it tends, in most cases,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offer technical solutions to specific problems without taking into account the internal dynamics of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community, the socio-economic context or complex issues such as gender relations (Fernandez-Baldor,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Hueso, and Boni 2012).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SLF has also overlooked the lack of opportunities for women. As we mentioned before,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SLF places the intervention focus on the family units. It does not analyse what happens inside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households, ignoring a space where potential inequalities may occur. As mentioned by Peter (2003),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intra-household inequalities (particularly those between men and women) are a reflection of public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inequalities, which makes household inequality a problem of social justice that should be addressed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by development projects.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We argue that the main added value of the CA is to complement these approaches by providing information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about the implications of the use and access of technology in relation to the real freedoms people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can enjoy. And this is particularly relevant for analysing gender inequalities, at least for the three following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aspects:</w:t>
      </w:r>
    </w:p>
    <w:p w:rsidR="00C36E58" w:rsidRPr="0040460C" w:rsidRDefault="00C36E58" w:rsidP="0040460C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40460C">
        <w:rPr>
          <w:rFonts w:ascii="Arial" w:hAnsi="Arial" w:cs="Arial"/>
        </w:rPr>
        <w:t>Gender inequalities in technology access: the conversion of technological inputs, such as energy,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 xml:space="preserve">differs between men and women. For example, illiterate women </w:t>
      </w:r>
      <w:r w:rsidRPr="0040460C">
        <w:rPr>
          <w:rFonts w:ascii="Arial" w:hAnsi="Arial" w:cs="Arial"/>
        </w:rPr>
        <w:lastRenderedPageBreak/>
        <w:t>cannot read at night despite having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light. Also, technology users differ in intersecting dimensions. These include personal differences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such as enthusiasms for technological resources, and social differences—for instance, the extent to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which race, ethnic, or gender differences are salient with regard to technology. So human diversity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 xml:space="preserve">is stressed in the approach by the explicit focus on personal and socio-environmental </w:t>
      </w:r>
      <w:r w:rsidR="0040460C" w:rsidRPr="0040460C">
        <w:rPr>
          <w:rFonts w:ascii="Arial" w:hAnsi="Arial" w:cs="Arial"/>
        </w:rPr>
        <w:t xml:space="preserve">conversión </w:t>
      </w:r>
      <w:r w:rsidRPr="0040460C">
        <w:rPr>
          <w:rFonts w:ascii="Arial" w:hAnsi="Arial" w:cs="Arial"/>
        </w:rPr>
        <w:t>factors that make possible the conversion of technological resources into functionings, and on the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social, institutional, and environmental context that affects the conversion factors and the capability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set directly.</w:t>
      </w:r>
    </w:p>
    <w:p w:rsidR="0040460C" w:rsidRDefault="00C36E58" w:rsidP="004046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40460C">
        <w:rPr>
          <w:rFonts w:ascii="Arial" w:hAnsi="Arial" w:cs="Arial"/>
        </w:rPr>
        <w:t>Possibility to analyse intra-household inequalities caused by technology: by focusing on the capabilities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and functionings of individuals, it is possible to analyse gender inequalities within families.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If having light allows the family to obtain economic resources—for instance, selling juice from an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electric blender—a normative analysis through the capabilities lens would interrogate the distribution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of these resources and the consequences for each family member.</w:t>
      </w:r>
    </w:p>
    <w:p w:rsidR="00C36E58" w:rsidRPr="0040460C" w:rsidRDefault="00C36E58" w:rsidP="00F451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40460C">
        <w:rPr>
          <w:rFonts w:ascii="Arial" w:hAnsi="Arial" w:cs="Arial"/>
        </w:rPr>
        <w:t>The multidimensionality of well-being: the inclusion of dimensions such as spirituality, leisure,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community participation, labour care, housework, and so forth, will reveal the consequences of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the introduction of a given technology in terms of what people really value. This is particularly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relevant in the case of women because they perform many non-market duties. Thus, the approach</w:t>
      </w:r>
      <w:r w:rsidR="0040460C"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extends the basis of information of technological interventions and their consequences.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Since the CA seems to be an interesting framework for analysing technological aid projects, in the following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paragraphs we briefly</w:t>
      </w:r>
      <w:r w:rsidR="0040460C">
        <w:rPr>
          <w:rStyle w:val="Refdenotaalpie"/>
          <w:rFonts w:ascii="Arial" w:hAnsi="Arial" w:cs="Arial"/>
        </w:rPr>
        <w:footnoteReference w:id="1"/>
      </w:r>
      <w:r w:rsidRPr="005872E2">
        <w:rPr>
          <w:rFonts w:ascii="Arial" w:hAnsi="Arial" w:cs="Arial"/>
        </w:rPr>
        <w:t xml:space="preserve"> review the existing literature on technology and the CA.</w:t>
      </w:r>
      <w:r w:rsidR="0040460C">
        <w:rPr>
          <w:rFonts w:ascii="Arial" w:hAnsi="Arial" w:cs="Arial"/>
        </w:rPr>
        <w:t xml:space="preserve"> 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Despite the potential of technology in terms of its contribution to well-being and the expansion of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human capabilities, technology has not received sufficient attention by CA scholars. As Oosterlaken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(2013, 7) suggests, “until recently the CA had […] hardly been applied as a theoretical and normative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lens to look at technology,” and she states that “the only example of a technology found in the mainstream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literature on the CA was a bicycle” but “used only to explain the approach.” However, this trend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has been changing in recent years. Proof of this shift is that within the Human Development and Capability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Association a thematic group on “technology and design” was created in 2009, and in 2011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Human Development and Capability Association annual conference was devoted to technology, innovation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and development. Moreover, in 2012 Oosterlaken and </w:t>
      </w:r>
      <w:r w:rsidRPr="005872E2">
        <w:rPr>
          <w:rFonts w:ascii="Arial" w:hAnsi="Arial" w:cs="Arial"/>
        </w:rPr>
        <w:lastRenderedPageBreak/>
        <w:t>Van den Hoven edited a book bringing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together several papers that explore the relationship between technology, design and the CA.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Most of the publications focused on technology and the CA have appeared since 2006. One approach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map these specialized publications would be by distinguishing works on the CA and the ICTs for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 (ICT4D), which are the majority, and those addressing the technology in a broader sense.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In the former group, amongst the most remarkable is the work done by Zheng (2009) on exploring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links between the CA and the ICT4D; that by Johnstone (2007) on the CA and computer ethics; and the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work of Kleine (2013, 2011, 2010) that operationalized the CA in the form of the so-called “Choice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framework,” which can be used by researchers to evaluate ICT4D projects. In fact, much work has</w:t>
      </w:r>
      <w:r w:rsidR="0040460C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used the CA for evaluating ICT4D projects, such as websites (Wresch 2009), podcasting devices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(Oosterlaken, Grimshaw, and Janssen 2012) or telecentres (for example, Vaughan 2011).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In the latter group, most notable is the work by Oosterlaken (2012, 2011, 2009) regarding the links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between technology and design issues with the CA; Johnstone’s (2012) discussion about the effects of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technology on human capabilities; Coeckelbergh’s (2011) use of the philosophy of technology to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analyse the role of technologies on human enhancement; or the “Technologies for Freedom” presented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by Fernández-Baldor, Hueso, and Boni (2012; Fernández-Baldor, Boni, and Hueso 2012), applying the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 to technological aid projects in order to explicitly expand people’s freedom and agency.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Most of the work carried out so far using the CA to assess technological development projects has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mainly focused on evaluating ICT4D projects, but less work has been done on evaluating </w:t>
      </w:r>
      <w:r w:rsidR="00A3137A" w:rsidRPr="005872E2">
        <w:rPr>
          <w:rFonts w:ascii="Arial" w:hAnsi="Arial" w:cs="Arial"/>
        </w:rPr>
        <w:t>traditional</w:t>
      </w:r>
      <w:r w:rsidR="00A3137A">
        <w:rPr>
          <w:rFonts w:ascii="Arial" w:hAnsi="Arial" w:cs="Arial"/>
        </w:rPr>
        <w:t xml:space="preserve"> technologies</w:t>
      </w:r>
      <w:r w:rsidRPr="005872E2">
        <w:rPr>
          <w:rFonts w:ascii="Arial" w:hAnsi="Arial" w:cs="Arial"/>
        </w:rPr>
        <w:t xml:space="preserve"> (water supply, sanitation, electrification, etc.) implemented in developing contexts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through the lens of the CA. An exception is the work by Fernández-Baldor, Hueso, and Boni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(2012), comparing rural small hydro power projects in Bolivia and Guatemala from the perspective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the CA. They argued that electrification projects, when properly set up and implemented, can help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people collectively become agents of change rather than being</w:t>
      </w:r>
      <w:r w:rsidR="00A3137A">
        <w:rPr>
          <w:rFonts w:ascii="Arial" w:hAnsi="Arial" w:cs="Arial"/>
        </w:rPr>
        <w:t xml:space="preserve"> mere recipients of transferred </w:t>
      </w:r>
      <w:r w:rsidRPr="005872E2">
        <w:rPr>
          <w:rFonts w:ascii="Arial" w:hAnsi="Arial" w:cs="Arial"/>
        </w:rPr>
        <w:t>technology. Thus, electrification projects can expand people’s capabilities but also their agency (individually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collectively). The authors concluded that more research was needed to evaluate other rural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electrification technologies (such as photovoltaic or wind) and deepen the analysis of the gender impact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projects.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study presented here emerges from this conclusion and tries to help fill the gap on assessments of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aid projects with traditional technologies (still very common in </w:t>
      </w:r>
      <w:r w:rsidRPr="005872E2">
        <w:rPr>
          <w:rFonts w:ascii="Arial" w:hAnsi="Arial" w:cs="Arial"/>
        </w:rPr>
        <w:lastRenderedPageBreak/>
        <w:t>development contexts). The added value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this work lies in comparing different electrification technologies and their impact on people’s wellbeing,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focusing on gender inequalities. To this end, this research presents an ad hoc methodology for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analysing electrification projects through the CA, with special attention to gender.</w:t>
      </w:r>
    </w:p>
    <w:p w:rsidR="00C36E58" w:rsidRPr="00A3137A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137A">
        <w:rPr>
          <w:rFonts w:ascii="Arial" w:hAnsi="Arial" w:cs="Arial"/>
          <w:b/>
          <w:sz w:val="24"/>
          <w:szCs w:val="24"/>
        </w:rPr>
        <w:t>4. Case study: Practical Action Electrification Projects in Cajamarca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To illustrate the potential of the CA to examine technological projects, we present the results of a case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study that analyses four different rural electrification projects implemented by Practical Action in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Cajamarca, Peru.</w:t>
      </w:r>
    </w:p>
    <w:p w:rsidR="00C36E58" w:rsidRPr="00A3137A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3137A">
        <w:rPr>
          <w:rFonts w:ascii="Arial" w:hAnsi="Arial" w:cs="Arial"/>
          <w:i/>
          <w:sz w:val="24"/>
          <w:szCs w:val="24"/>
        </w:rPr>
        <w:t>4.1 Practical Action Projects Management System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Practical Action is a NGO of international technical cooperation that has been operating in Latin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America since 1985. The office located in the Peruvian region of Cajamarca is in charge of the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energy projects, which aim to provide rural communities with access to sustainable renewable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energy-based off-grid services.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We now explain the intervention protocol of the NGO in order to provide a better understanding of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project process: firstly, Practical Action gives priority to interventions in communities that have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requested the implementation of a project. In other cases, Practical Action selected a community and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proposed a project to the people. Once the project has been accepted, a socio-economic study is undertaken,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using questionnaires and interviews with community leaders. The technical team then prepares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technical design of the systems and the project report.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For a number of years Practical Action has been developing a management scheme for the implementation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the electrification projects, based on the following stakeholders: the microenterprise (run by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community members, in charge of the operation, maintenance and administration of the system); the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users (the families that consume electricity); and the supervisory board (consisting of community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people, in charge of supervising the management of the microenterprise and of dealing with user complaints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suggestions).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Of particular relevance in this management scheme are the roles of the operator and the administrator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the microenterprise. They are in charge of the operation and maintenance as well as the collection of a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monthly fee, which is saved in a joint bank account in order to replace old equipment. Between four and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eight people within the </w:t>
      </w:r>
      <w:r w:rsidRPr="005872E2">
        <w:rPr>
          <w:rFonts w:ascii="Arial" w:hAnsi="Arial" w:cs="Arial"/>
        </w:rPr>
        <w:lastRenderedPageBreak/>
        <w:t>community are trained to handle the equipment, and two of them are chosen in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community assembly to take these responsibilities.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Despite having over 30 years of experience in technological projects, the NGO itself acknowledges a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problem with the projects’ sustainability. In July 2010, in two different workshops in Lima and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Cajamarca involving Practical Action decision-makers, it became obvious that the projects sometimes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failed due to factors not linked to the implemented electrification technology; for instance, community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power struggles, poor participation of local people, established social rules or relationships with local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governments. In addition, most of the NGO technicians agreed on the influence of external factors such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as the presence of the mining enterprise Yanacocha (close to the intervention place and which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implements projects in the communities) on the sustainability of the intervention. The hand-out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dynamic surrounding the Yanacocha projects accustoms the communities to receive projects without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any contribution on their behalf, reducing their participation.</w:t>
      </w:r>
    </w:p>
    <w:p w:rsidR="00A3137A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objective of the study initiated in a visit in August 2010 was to find a reason for the sparse sustainability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detected. In this visit, the broad research outlines were defined and later on, in 2011, the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fieldwork took place. During 2012 feedback was given through two workshops with the organization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technicians and management staff.</w:t>
      </w:r>
      <w:r w:rsidR="00A3137A">
        <w:rPr>
          <w:rFonts w:ascii="Arial" w:hAnsi="Arial" w:cs="Arial"/>
        </w:rPr>
        <w:t xml:space="preserve"> </w:t>
      </w:r>
    </w:p>
    <w:p w:rsidR="00C36E58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During the research period, four projects were analysed with the general characteristics presented in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Table 1.</w:t>
      </w:r>
    </w:p>
    <w:p w:rsidR="00A3137A" w:rsidRDefault="00A3137A" w:rsidP="000A4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A3137A">
        <w:rPr>
          <w:rFonts w:ascii="Arial" w:hAnsi="Arial" w:cs="Arial"/>
          <w:noProof/>
          <w:lang w:eastAsia="es-ES"/>
        </w:rPr>
        <w:drawing>
          <wp:inline distT="0" distB="0" distL="0" distR="0">
            <wp:extent cx="6098664" cy="13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82" cy="131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C9" w:rsidRPr="000A43C9" w:rsidRDefault="000A43C9" w:rsidP="000A43C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A43C9">
        <w:rPr>
          <w:rFonts w:ascii="Arial" w:hAnsi="Arial" w:cs="Arial"/>
          <w:sz w:val="20"/>
          <w:szCs w:val="20"/>
        </w:rPr>
        <w:t xml:space="preserve">Source: </w:t>
      </w:r>
      <w:r>
        <w:rPr>
          <w:rFonts w:ascii="Arial" w:hAnsi="Arial" w:cs="Arial"/>
          <w:sz w:val="20"/>
          <w:szCs w:val="20"/>
        </w:rPr>
        <w:t>T</w:t>
      </w:r>
      <w:r w:rsidRPr="000A43C9">
        <w:rPr>
          <w:rFonts w:ascii="Arial" w:hAnsi="Arial" w:cs="Arial"/>
          <w:sz w:val="20"/>
          <w:szCs w:val="20"/>
        </w:rPr>
        <w:t>he aut</w:t>
      </w:r>
      <w:r>
        <w:rPr>
          <w:rFonts w:ascii="Arial" w:hAnsi="Arial" w:cs="Arial"/>
          <w:sz w:val="20"/>
          <w:szCs w:val="20"/>
        </w:rPr>
        <w:t>h</w:t>
      </w:r>
      <w:r w:rsidRPr="000A43C9">
        <w:rPr>
          <w:rFonts w:ascii="Arial" w:hAnsi="Arial" w:cs="Arial"/>
          <w:sz w:val="20"/>
          <w:szCs w:val="20"/>
        </w:rPr>
        <w:t>ors</w:t>
      </w:r>
      <w:r>
        <w:rPr>
          <w:rFonts w:ascii="Arial" w:hAnsi="Arial" w:cs="Arial"/>
          <w:sz w:val="20"/>
          <w:szCs w:val="20"/>
        </w:rPr>
        <w:t>.</w:t>
      </w:r>
    </w:p>
    <w:p w:rsidR="000A43C9" w:rsidRDefault="000A43C9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Wind and photovoltaic solar systems are both defined by resource variability and thus need batteries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store the electricity generated. This fact restricts the use of high-power appliances (such as irons or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electric cookers) or other appliances that need continuous supply (such as refrigerators). However,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hydropower systems can generate electricity 24 hours a day, allowing a wider range of appliances</w:t>
      </w:r>
      <w:r w:rsidR="00A3137A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also a productive use of the energy.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lastRenderedPageBreak/>
        <w:t>On the other hand, installing wind and solar systems is easier than installing hydro power systems.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installation of the two first systems can take just a day with the support of a few people, while micro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hydro power plants require building infrastructure such as channels or engine rooms. This requires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labour of the whole community for a number of months.</w:t>
      </w:r>
    </w:p>
    <w:p w:rsidR="00C36E58" w:rsidRPr="000A43C9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A43C9">
        <w:rPr>
          <w:rFonts w:ascii="Arial" w:hAnsi="Arial" w:cs="Arial"/>
          <w:i/>
          <w:sz w:val="24"/>
          <w:szCs w:val="24"/>
        </w:rPr>
        <w:t>4.2 Methodology for Project Analysis Using the Capability Approach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works of Alkire (2002), Biggeri et al. (2006), Frediani (2008) and Muñíz (2009) were the prime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inspiration for the research methodology design. A few tools were introduced to obtain data related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the context and to the conversion factors affecting the capabilities of the people. It also focused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on finding out the relationship between the electrification projects and expansion of capabilities, particularly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with reference to gender issues.</w:t>
      </w:r>
    </w:p>
    <w:p w:rsidR="00C36E58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Table 2 displays the methodology steps as well as the data required in each of the research phases.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comprehension of the context (and the rest of conversion factors) was achieved through semistructured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interviews with key informants: Practical Action decision-makers and technicians, staff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from other Peruvian and foreign development NGOs, and also with Peruvian University researchers and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other key stakeholders in Lima and Cajamarca.</w:t>
      </w:r>
    </w:p>
    <w:p w:rsidR="000A43C9" w:rsidRDefault="000A43C9" w:rsidP="000A43C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</w:rPr>
      </w:pPr>
      <w:r w:rsidRPr="000A43C9">
        <w:rPr>
          <w:rFonts w:ascii="Arial" w:hAnsi="Arial" w:cs="Arial"/>
          <w:noProof/>
          <w:lang w:eastAsia="es-ES"/>
        </w:rPr>
        <w:drawing>
          <wp:inline distT="0" distB="0" distL="0" distR="0">
            <wp:extent cx="6447386" cy="2809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55" cy="28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C9" w:rsidRPr="000A43C9" w:rsidRDefault="000A43C9" w:rsidP="000A43C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A43C9">
        <w:rPr>
          <w:rFonts w:ascii="Arial" w:hAnsi="Arial" w:cs="Arial"/>
          <w:sz w:val="20"/>
          <w:szCs w:val="20"/>
        </w:rPr>
        <w:t xml:space="preserve">Source: </w:t>
      </w:r>
      <w:r>
        <w:rPr>
          <w:rFonts w:ascii="Arial" w:hAnsi="Arial" w:cs="Arial"/>
          <w:sz w:val="20"/>
          <w:szCs w:val="20"/>
        </w:rPr>
        <w:t>T</w:t>
      </w:r>
      <w:r w:rsidRPr="000A43C9">
        <w:rPr>
          <w:rFonts w:ascii="Arial" w:hAnsi="Arial" w:cs="Arial"/>
          <w:sz w:val="20"/>
          <w:szCs w:val="20"/>
        </w:rPr>
        <w:t>he aut</w:t>
      </w:r>
      <w:r>
        <w:rPr>
          <w:rFonts w:ascii="Arial" w:hAnsi="Arial" w:cs="Arial"/>
          <w:sz w:val="20"/>
          <w:szCs w:val="20"/>
        </w:rPr>
        <w:t>h</w:t>
      </w:r>
      <w:r w:rsidRPr="000A43C9">
        <w:rPr>
          <w:rFonts w:ascii="Arial" w:hAnsi="Arial" w:cs="Arial"/>
          <w:sz w:val="20"/>
          <w:szCs w:val="20"/>
        </w:rPr>
        <w:t>ors</w:t>
      </w:r>
      <w:r>
        <w:rPr>
          <w:rFonts w:ascii="Arial" w:hAnsi="Arial" w:cs="Arial"/>
          <w:sz w:val="20"/>
          <w:szCs w:val="20"/>
        </w:rPr>
        <w:t>.</w:t>
      </w:r>
    </w:p>
    <w:p w:rsidR="000A43C9" w:rsidRPr="005872E2" w:rsidRDefault="000A43C9" w:rsidP="000A43C9">
      <w:pPr>
        <w:autoSpaceDE w:val="0"/>
        <w:autoSpaceDN w:val="0"/>
        <w:adjustRightInd w:val="0"/>
        <w:spacing w:after="240" w:line="360" w:lineRule="auto"/>
        <w:ind w:left="-709"/>
        <w:jc w:val="both"/>
        <w:rPr>
          <w:rFonts w:ascii="Arial" w:hAnsi="Arial" w:cs="Arial"/>
        </w:rPr>
      </w:pP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main feature of the fieldwork was the fact that it was co-designed with Practical Action, from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research objectives to the workshop structure, the community selection, </w:t>
      </w:r>
      <w:r w:rsidR="000A43C9">
        <w:rPr>
          <w:rFonts w:ascii="Arial" w:hAnsi="Arial" w:cs="Arial"/>
        </w:rPr>
        <w:lastRenderedPageBreak/>
        <w:t>t</w:t>
      </w:r>
      <w:r w:rsidRPr="005872E2">
        <w:rPr>
          <w:rFonts w:ascii="Arial" w:hAnsi="Arial" w:cs="Arial"/>
        </w:rPr>
        <w:t>he field visits and the discussion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research results. The contributions of Practical Action staff, particularly the team of sociologists,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were key to refining the fieldwork methodology in the communities. Another important aspect to highlight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was the participatory character of the methodology. Table 3 displays the main characteristics of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fieldwork in the communities with techniques used and their objectives.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methodology has an important gender component. Firstly, the participatory workshops took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place separately in each community, one for women and another for men. This allowed women to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express themselves freely without their husbands present. Secondly, the Uses of Time technique was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applied during the individual interviews to monitor the differences between women’s and men’s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chores. In addition, the work of the focus groups provided information about women’s access to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posts of responsibility in the community, as well as about their access to, and participation in, the electrification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project.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participatory workshops in the communities were the key tool for the collection of information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regarding the things people value and their relationship to the project. The main question discussed by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participants during the first meeting was: what are the things or opportunities you would like your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children to enjoy in the future? The objective of asking this question was to determine the things people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value in their lives. The second part of the workshop focused on the positive and negative effects of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electrification project. The participants were asked to complete the following sentence: “I like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project because now…” and “I don’t like the project because now…</w:t>
      </w:r>
      <w:r w:rsidR="000A43C9" w:rsidRPr="005872E2">
        <w:rPr>
          <w:rFonts w:ascii="Arial" w:hAnsi="Arial" w:cs="Arial"/>
        </w:rPr>
        <w:t>”</w:t>
      </w:r>
      <w:r w:rsidRPr="005872E2">
        <w:rPr>
          <w:rFonts w:ascii="Arial" w:hAnsi="Arial" w:cs="Arial"/>
        </w:rPr>
        <w:t xml:space="preserve"> Then links </w:t>
      </w:r>
      <w:r w:rsidR="000A43C9" w:rsidRPr="005872E2">
        <w:rPr>
          <w:rFonts w:ascii="Arial" w:hAnsi="Arial" w:cs="Arial"/>
        </w:rPr>
        <w:t xml:space="preserve">were </w:t>
      </w:r>
      <w:r w:rsidR="000A43C9">
        <w:rPr>
          <w:rFonts w:ascii="Arial" w:hAnsi="Arial" w:cs="Arial"/>
        </w:rPr>
        <w:t xml:space="preserve">established </w:t>
      </w:r>
      <w:r w:rsidRPr="005872E2">
        <w:rPr>
          <w:rFonts w:ascii="Arial" w:hAnsi="Arial" w:cs="Arial"/>
        </w:rPr>
        <w:t>between the things people valued and the effects of the project. The workshop ended with a group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reflection on how the project impacts on the things people valued.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It is important to highlight that more men participated in the workshops than women. This is caused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by the fact that generally the representative from Practical Action that coordinates the community visits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the contact person in the community are both men. Consequently, women’s preferences and possibilities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of participation are not taken into account. In </w:t>
      </w:r>
      <w:proofErr w:type="gramStart"/>
      <w:r w:rsidRPr="005872E2">
        <w:rPr>
          <w:rFonts w:ascii="Arial" w:hAnsi="Arial" w:cs="Arial"/>
        </w:rPr>
        <w:t>some</w:t>
      </w:r>
      <w:proofErr w:type="gramEnd"/>
      <w:r w:rsidRPr="005872E2">
        <w:rPr>
          <w:rFonts w:ascii="Arial" w:hAnsi="Arial" w:cs="Arial"/>
        </w:rPr>
        <w:t xml:space="preserve"> cases the workshops took place at the time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of the day when the women were preparing their husbands’ lunch or milking the cows. This </w:t>
      </w:r>
      <w:r w:rsidR="000A43C9">
        <w:rPr>
          <w:rFonts w:ascii="Arial" w:hAnsi="Arial" w:cs="Arial"/>
        </w:rPr>
        <w:t xml:space="preserve">problema </w:t>
      </w:r>
      <w:r w:rsidRPr="005872E2">
        <w:rPr>
          <w:rFonts w:ascii="Arial" w:hAnsi="Arial" w:cs="Arial"/>
        </w:rPr>
        <w:t>was addressed by adapting in situ the timings of the activities to the women’s availability, and increasing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number and depth of individual interviews to women.</w:t>
      </w:r>
    </w:p>
    <w:p w:rsidR="000A43C9" w:rsidRDefault="000A43C9" w:rsidP="000A4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0A43C9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6275189" cy="3162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50" cy="31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C9" w:rsidRPr="000A43C9" w:rsidRDefault="000A43C9" w:rsidP="000A4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A43C9">
        <w:rPr>
          <w:rFonts w:ascii="Arial" w:hAnsi="Arial" w:cs="Arial"/>
          <w:sz w:val="20"/>
          <w:szCs w:val="20"/>
        </w:rPr>
        <w:t>Source: The authors.</w:t>
      </w:r>
    </w:p>
    <w:p w:rsidR="000A43C9" w:rsidRDefault="000A43C9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:rsidR="00C36E58" w:rsidRPr="000A43C9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43C9">
        <w:rPr>
          <w:rFonts w:ascii="Arial" w:hAnsi="Arial" w:cs="Arial"/>
          <w:b/>
          <w:sz w:val="24"/>
          <w:szCs w:val="24"/>
        </w:rPr>
        <w:t>5. Analysis and Discussion of Results</w:t>
      </w:r>
    </w:p>
    <w:p w:rsidR="00C36E58" w:rsidRPr="000A43C9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A43C9">
        <w:rPr>
          <w:rFonts w:ascii="Arial" w:hAnsi="Arial" w:cs="Arial"/>
          <w:i/>
          <w:sz w:val="24"/>
          <w:szCs w:val="24"/>
        </w:rPr>
        <w:t>5.1 Extending the Basis of Information for the Interventions Analysis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One of the key elements during the participatory workshops in the four communities was to determine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things that people value and their relationship with the project. According to Practical Action (ITDG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2007), the projects provide different benefits to the communities: reduced air pollution as they substitute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candles or kerosene for electricity; improved access to communication through television and radio;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possibility of night study under appropriate light; the use of computers and audiovisual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equipment in schools; and improvement of local medical centre equipment. On the other hand, there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is some cost-saving for people because the cost of electricity is lower than that of candles, kerosene,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batteries, and so forth. Finally, the productive use of energy in local business such as restaurants,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hostels and mills can improve production and sales, and can thus provide an economic benefit for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community.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research confirms those benefits but also, using the CA, detects an expansion of the capabilities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 other areas not considered by Practical Action. Some participants from the Campo Alegre community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highlighted the fact that the project enabled them to establish connections with other people, to read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bible at night-time or to discover new professions through television. In the Alto Peru community,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participants valued the availability of light for their own security at night against robbery as well as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the opportunity </w:t>
      </w:r>
      <w:r w:rsidRPr="005872E2">
        <w:rPr>
          <w:rFonts w:ascii="Arial" w:hAnsi="Arial" w:cs="Arial"/>
        </w:rPr>
        <w:lastRenderedPageBreak/>
        <w:t>to celebrate night assemblies, which increased community participation. In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Chorro Blanco community, the participants emphasized that the light made their community more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attractive, reducing the emigration of the young as well as enabling people from other communities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settle in the area. Also, in El Regalado the participants felt that electric lighting had promoted an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increased sense of collective dignity: “We are not envious of city life” was a statement in one of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workshops.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However, the fact that not all families enjoy electric lighting can provoke some discord in the community.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While the beneficiary families acknowledge the strength acquired with the project, those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without the service were left behind. Technological projects can generate inequalities and this has to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be taken into consideration when planning this type of intervention.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We are interested in taking an in-depth look into the differences amongst the technologies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implemented: wind, solar, hydro or the combination of those. It is important to highlight the fact that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those projects which supplied more energy (as is the case of two communities supplied by hydro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power plants) better satisfied the community members and expanded their set of capabilities to a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greater extent. The more energy available, the more energy uses such as productive activities, </w:t>
      </w:r>
      <w:r w:rsidR="000A43C9">
        <w:rPr>
          <w:rFonts w:ascii="Arial" w:hAnsi="Arial" w:cs="Arial"/>
        </w:rPr>
        <w:t xml:space="preserve">Street </w:t>
      </w:r>
      <w:r w:rsidRPr="005872E2">
        <w:rPr>
          <w:rFonts w:ascii="Arial" w:hAnsi="Arial" w:cs="Arial"/>
        </w:rPr>
        <w:t>or leisure lighting. Also, the reliability and robustness of the hydro power systems lead to a greater satisfaction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among the people, as compared with the wind or photovoltaic systems with lower levels of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energy and stability.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technology implementation process also has consequences on the strength of the community.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two projects with wind technology did not generate collective processes in the same way as the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hydro power projects did. As the technology is simpler, Practical Action does not create </w:t>
      </w:r>
      <w:r w:rsidR="000A43C9">
        <w:rPr>
          <w:rFonts w:ascii="Arial" w:hAnsi="Arial" w:cs="Arial"/>
        </w:rPr>
        <w:t xml:space="preserve">comunal </w:t>
      </w:r>
      <w:r w:rsidRPr="005872E2">
        <w:rPr>
          <w:rFonts w:ascii="Arial" w:hAnsi="Arial" w:cs="Arial"/>
        </w:rPr>
        <w:t>spaces for community participation; instead, the NGO technicians perform their work in each household.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Conversely, in the two communities with hydro power systems, the implementation processes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took longer and the people participated actively in the construction of the infrastructure; men did building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work (i.e. channels) and women carried materials and prepared food. The fact that it is a type of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technology that requires more labour than the others has an impact on community participation and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therefore in building a sense of community: “We all made it together,” said a woman in El Regalado.</w:t>
      </w:r>
      <w:r w:rsidR="000A43C9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However, as we found in previous research comparing hydro power projects in Guatemala and Bolivia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(Fernández-Baldor, Hueso, and Boni 2012), using technology that requires a long process of implementation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does not guarantee empowerment and agency amongst community members. Other issues such as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motivation, community participation, knowledge creation and capacity-building should </w:t>
      </w:r>
      <w:r w:rsidRPr="005872E2">
        <w:rPr>
          <w:rFonts w:ascii="Arial" w:hAnsi="Arial" w:cs="Arial"/>
        </w:rPr>
        <w:lastRenderedPageBreak/>
        <w:t>be considered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when planning projects. In our view, those aspects should be explicitly addressed by Practical Action,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taking advantage of their transforming potential.</w:t>
      </w:r>
    </w:p>
    <w:p w:rsidR="00C36E58" w:rsidRPr="0054545B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545B">
        <w:rPr>
          <w:rFonts w:ascii="Arial" w:hAnsi="Arial" w:cs="Arial"/>
          <w:i/>
          <w:sz w:val="24"/>
          <w:szCs w:val="24"/>
        </w:rPr>
        <w:t>5.2 Gender Inequalities in Technological Projects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presence of light in homes increases the number of activities that can be performed throughout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day, but the type of activities differs greatly between the genders. For instance, it is commonplace for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men to watch television or play an instrument at night time while women knit or sew until late. Therefore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men extend their leisure time while women extend their working time. However, women affirm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their happiness in being able to complete these chores and thus improve their families’ welfare. It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seems that we are facing a woman’s adaptive preference because, as Iversen (2003) pointed out,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they sacrifice her own personal well-being for the sake of the household. Moreover, the research analyses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well-being of women in terms of capabilities and functionings, revealing that men are freer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than women in pursuing things they value (e.g. studying at night or participating in community assemblies).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Thus, according to Nussbaum (2000, 220):“they [women] lack opportunities for play and the cultivation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their imaginative and cognitive faculties.”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Another issue highly valued in the workshops was religion; in particular, reading the bible and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possibility of watching religious movies. Men can read the bible and watch religious movies at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night-time, enjoying their spiritual development. However, women are not able to take advantage of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this in the same way. The high level of illiteracy among women prevents them from reading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bible. And, as stated before, the increase in their domestic night chores does not leave them time for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development of their spiritual life or other such pastimes.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research also shows inequalities in the opportunities to participate in the community. Women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mention their lack of time or possibilities to attend meetings or assemblies at the times they are proposed: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“We cannot take children to the meetings” or “meetings are very early and we have to milk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cows” were answers given during the interviews by one woman in Alto Perú and another in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Campo Alegre. In this respect, the research identifies the lack of mechanisms applied by Practical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Action team to improve women’s access to participation spaces.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On the other hand, when women attend meetings they tend to adopt a listening role instead of an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active one. This is confirmed by some testimonies such as that by the APAFA President (a parents’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association) in Chorro Blanco who explains why she does </w:t>
      </w:r>
      <w:r w:rsidRPr="005872E2">
        <w:rPr>
          <w:rFonts w:ascii="Arial" w:hAnsi="Arial" w:cs="Arial"/>
        </w:rPr>
        <w:lastRenderedPageBreak/>
        <w:t>not speak during the meetings: “Sometimes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 feel a bit shy, I cannot find the words and that’s scary.” Another woman in Alto Perú explains: “I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would have liked to give my opinion but it was my husband who gave it.” However, there are illiterate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men who do feel free to participate actively in the meetings.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As we mentioned in Section 4.1, the project gives two types of training: one directed towards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final users, and another towards the operators and administrators. In the first type, it has been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observed that the acquisition of technical knowledge about the electrical systems improves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population’s self-esteem. But who attends the training meetings? Again it is the male population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that can take advantage of this project resource: “We have enough knowledge to look after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equipment. If it does not work, it is because it has not been looked after properly” or “if we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pay less there won’t be money to buy batteries” are men’s comments expressed during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leaders workshops in Alto Perú. These comments give evidence of the appropriation of knowledge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by the men. Alternatively, in the cases when women claim to have learnt something about the operation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or maintenance of the systems it is because their husbands taught them: “Only my husband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took part in the training” or “I did not learn, it was my husband,” explained two women from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Alto Perú and Chorro Blanco.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second type of training for operators and administrators is restricted to men and is the type of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training that actually increases capabilities. “I feel more valued,” “I feel more appreciated by the community”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or “I like to be an operator because I learn more. Knowing something, I can go and work as an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electrician anywhere” are some of the answers given by the interviewees who were receiving training to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be operators or administrators in the community. However, women do not have access to these posts of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responsibility for various reasons. Firstly, these are traditionally male posts. In the rural context of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Cajamarca it is assumed that any technical post belongs to men. As we mentioned in the previous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section (Section 5.1), men are in charge of building the infrastructure for the hydro power plant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while women carry materials and prepare the food. This, together with a lower level of education for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women and the timetable incompatibility of the training sessions for operators and administrators,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hinders the expansion of the capability set of women.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Finally, the workshop results and the interviews reveal that most projects did not generate women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agency. In some cases, there are indications of the potential of training to strengthen agency. This is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case for the Mayor in Alto Perú, who explains: “We need training to become stronger. If we are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not trained we don’t know how to claim.” </w:t>
      </w:r>
      <w:r w:rsidRPr="005872E2">
        <w:rPr>
          <w:rFonts w:ascii="Arial" w:hAnsi="Arial" w:cs="Arial"/>
        </w:rPr>
        <w:lastRenderedPageBreak/>
        <w:t>Obviously if women cannot attend the training sessions,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agency improvement will not take place for them.</w:t>
      </w:r>
    </w:p>
    <w:p w:rsidR="00C36E58" w:rsidRPr="0054545B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45B">
        <w:rPr>
          <w:rFonts w:ascii="Arial" w:hAnsi="Arial" w:cs="Arial"/>
          <w:b/>
          <w:sz w:val="24"/>
          <w:szCs w:val="24"/>
        </w:rPr>
        <w:t>6. Contributions of the Capability Approach to Practical Action Project Planning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Despite the resistance to face gender issues in rural development contexts, one of the most interesting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features of the CA is that it has enabled us to discuss sensitive issues such as gender inequalities produced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by electrification projects with Practical Action. If these issues had been discussed from other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more radical approaches, perhaps we would have found opposition from Practical Action. This is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because the approach allowed us to address well-being in a broader sense, extending the basis of information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from which to make assessments of projects. In this regard, the research confirmed an </w:t>
      </w:r>
      <w:r w:rsidR="0054545B">
        <w:rPr>
          <w:rFonts w:ascii="Arial" w:hAnsi="Arial" w:cs="Arial"/>
        </w:rPr>
        <w:t xml:space="preserve">expansión </w:t>
      </w:r>
      <w:r w:rsidRPr="005872E2">
        <w:rPr>
          <w:rFonts w:ascii="Arial" w:hAnsi="Arial" w:cs="Arial"/>
        </w:rPr>
        <w:t>of the capabilities in positive areas unexpected by Practical Action, while it also found some negative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aspects.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following are some of the recommendations proposed to Practical Action, which were discussed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produced together with the people responsible for the energy programme in Cajamarca, their technicians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also staff from other NGOs linked to the organization. Our intention was to offer realistic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recommendations, relevant to the context in Cajamarca and feasible for the organization to put into practice,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sacrificing more radical options, related for instance to gender, but extremely difficult to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implement.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first suggestion to Practical Action is to include a different type of information when planning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projects. Presently, and following World Bank recommendations, they gather socio-economic quantitative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information. This has proved to be not sufficient, and it would be appropriate to gather information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about values, customs, gender roles, and leadership in the community, amongst others. This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means that Practical Action technicians need to have the skills required for this.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It is also necessary to increase community participation in all stages of the project cycle. Previously,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diagnosis and technological choice have been carried out by Practical Action, selecting individual or collective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technological alternatives based on their own criteria. However, we believe that it should be </w:t>
      </w:r>
      <w:r w:rsidR="0054545B">
        <w:rPr>
          <w:rFonts w:ascii="Arial" w:hAnsi="Arial" w:cs="Arial"/>
        </w:rPr>
        <w:t xml:space="preserve">posible </w:t>
      </w:r>
      <w:r w:rsidRPr="005872E2">
        <w:rPr>
          <w:rFonts w:ascii="Arial" w:hAnsi="Arial" w:cs="Arial"/>
        </w:rPr>
        <w:t>to organize training activities to provide community members with information about the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identification and management of natural resources through technology. Regarding project implementation,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we have identified low levels of attendance atmeetings and community assemblies due to timetable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incompatibilities with the work duties of most communitymembers, as so far </w:t>
      </w:r>
      <w:r w:rsidRPr="005872E2">
        <w:rPr>
          <w:rFonts w:ascii="Arial" w:hAnsi="Arial" w:cs="Arial"/>
        </w:rPr>
        <w:lastRenderedPageBreak/>
        <w:t>themeetings were planned by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Practical Action staff. To solve this problem, we would advise that the community itself defines the timings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of the meetings, and that Practical Action staff adapt to them instead of the other way round.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We also recommend including specific activities to deal with gender inequalities. To this end an allocated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budget is necessary to ensure the availability of gender resources during the project. It would also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be good to have specific gender indicators to assess the projects’ success in this respect. In particular, it</w:t>
      </w:r>
      <w:r w:rsidR="0054545B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would be very useful to instigate the following:</w:t>
      </w:r>
    </w:p>
    <w:p w:rsidR="00C36E58" w:rsidRPr="0054545B" w:rsidRDefault="00C36E58" w:rsidP="00256328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54545B">
        <w:rPr>
          <w:rFonts w:ascii="Arial" w:hAnsi="Arial" w:cs="Arial"/>
        </w:rPr>
        <w:t>Appoint a female coordinator to plan the meetings with Practical Action and in doing so take into</w:t>
      </w:r>
      <w:r w:rsidR="0054545B" w:rsidRPr="0054545B">
        <w:rPr>
          <w:rFonts w:ascii="Arial" w:hAnsi="Arial" w:cs="Arial"/>
        </w:rPr>
        <w:t xml:space="preserve"> </w:t>
      </w:r>
      <w:r w:rsidRPr="0054545B">
        <w:rPr>
          <w:rFonts w:ascii="Arial" w:hAnsi="Arial" w:cs="Arial"/>
        </w:rPr>
        <w:t>proper consideration women’s availability. This position of responsibility would also increase their</w:t>
      </w:r>
      <w:r w:rsidR="0054545B" w:rsidRPr="0054545B">
        <w:rPr>
          <w:rFonts w:ascii="Arial" w:hAnsi="Arial" w:cs="Arial"/>
        </w:rPr>
        <w:t xml:space="preserve"> </w:t>
      </w:r>
      <w:r w:rsidRPr="0054545B">
        <w:rPr>
          <w:rFonts w:ascii="Arial" w:hAnsi="Arial" w:cs="Arial"/>
        </w:rPr>
        <w:t>agency.</w:t>
      </w:r>
    </w:p>
    <w:p w:rsidR="00C36E58" w:rsidRPr="00322FB2" w:rsidRDefault="00C36E58" w:rsidP="005F58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322FB2">
        <w:rPr>
          <w:rFonts w:ascii="Arial" w:hAnsi="Arial" w:cs="Arial"/>
        </w:rPr>
        <w:t>Include women in the posts of responsibility. One option could be to establish a quota of women’s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participation in the microenterprise and supervisory board, which will make them visible and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ensure their representation, as well as improve gender equity. Another option, which could transform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power structures, would be to impose that either the operator or the administrator was a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woman. This would help the community realize that women can perform both in technical and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administration posts, thus improving women’s agency. The same method could be applied to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the construction of infrastructure or the installation of energy systems where women could also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become visible and perform the same tasks as men.</w:t>
      </w:r>
    </w:p>
    <w:p w:rsidR="00C36E58" w:rsidRPr="00322FB2" w:rsidRDefault="00C36E58" w:rsidP="00922D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322FB2">
        <w:rPr>
          <w:rFonts w:ascii="Arial" w:hAnsi="Arial" w:cs="Arial"/>
        </w:rPr>
        <w:t>Organize separate meetings or workshops for men and women to ensure women’s participation,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because it has been proven that power imbalance restricts women from publicly expressing their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personal, political or ideological opinions.</w:t>
      </w:r>
    </w:p>
    <w:p w:rsidR="00C36E58" w:rsidRPr="00322FB2" w:rsidRDefault="00C36E58" w:rsidP="000401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322FB2">
        <w:rPr>
          <w:rFonts w:ascii="Arial" w:hAnsi="Arial" w:cs="Arial"/>
        </w:rPr>
        <w:t>Offer specific training for women and their organizations. This would reinforce their self-esteem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and also their ability to discuss issues in public, giving them the confidence to actively participate</w:t>
      </w:r>
      <w:r w:rsidR="00322FB2" w:rsidRPr="00322FB2">
        <w:rPr>
          <w:rFonts w:ascii="Arial" w:hAnsi="Arial" w:cs="Arial"/>
        </w:rPr>
        <w:t xml:space="preserve"> </w:t>
      </w:r>
      <w:r w:rsidRPr="00322FB2">
        <w:rPr>
          <w:rFonts w:ascii="Arial" w:hAnsi="Arial" w:cs="Arial"/>
        </w:rPr>
        <w:t>in the meetings.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Finally, expanding the agency should be a specific target of Practical Action when planning projects.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Given that different electrification technologies show indications of diverse effects in terms of empowerment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agency, this should be a factor to consider when choosing one technology over others. Also,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fact that local governments contribute to the budgets of the projects is an important opportunity to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increase agency. This contribution should be used to open a space for discussion between the community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and the local governments and to reinforce the collective agency of the communities.</w:t>
      </w:r>
    </w:p>
    <w:p w:rsidR="00C36E58" w:rsidRPr="00322FB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2FB2">
        <w:rPr>
          <w:rFonts w:ascii="Arial" w:hAnsi="Arial" w:cs="Arial"/>
          <w:b/>
          <w:sz w:val="24"/>
          <w:szCs w:val="24"/>
        </w:rPr>
        <w:lastRenderedPageBreak/>
        <w:t>7. Conclusions—Technology: Necessary but Not Sufficient for Development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Most of the work carried out so far using the CA to assess technological projects has mainly focused on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evaluating ICT4D projects. This research is intended to help fill this gap by providing a case study evaluating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traditional technologies; in this case, four energy-based projects. The added value of this work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lies in the comparison of different electrification technologies and their impact on people’s well-being,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focusing on gender inequalities.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The research has revealed the limitations of interventions focused solely on supplying technology,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electrification in this particular case, without taking into account certain elements that can make the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use of technology contribute unequally to the expansion of people’s capabilities. In the projects analysed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 this research, the most relevant factor explaining these inequalities is gender, which needs to be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urgently addressed by Practical Action when planning their projects. Neither agency is an issue explicitly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taken into account by Practical Action. Thus, most of the recommendations of the previous section are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aimed at helping Practical Action promote a more even expansion of people’s capabilities and agency.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This study also confirms the potential of the CA to complement other approaches—such as Appropriate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Technologies or the Sustainable Livelihoods Approach—by providing information about the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implications of the use of and access to technology in relation to the real freedoms people can enjoy.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As this study shows, this is particularly relevant when analysing gender inequalities.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This research also has certain limitations. It has not analysed, for instance, the development of children’s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capabilities due to limitations of time and resource. Likewise, the case studies could be extended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to other communities and other types of technology. Research currently in progress is taking into consideration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these limitations, trying to look in depth into the aspects missing in this article. It is therefore a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living collaborative process between an NGO and the university, which will hopefully contribute to the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improvement of technological interventions and offer some clues in how to use all the potential of the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CA for development.</w:t>
      </w:r>
    </w:p>
    <w:p w:rsidR="00C36E58" w:rsidRPr="00322FB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2FB2">
        <w:rPr>
          <w:rFonts w:ascii="Arial" w:hAnsi="Arial" w:cs="Arial"/>
          <w:b/>
          <w:sz w:val="24"/>
          <w:szCs w:val="24"/>
        </w:rPr>
        <w:t>Acknowledgements</w:t>
      </w:r>
    </w:p>
    <w:p w:rsidR="00C36E58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We would like to thank the people from the Peruvian communities where the case study was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 xml:space="preserve">implemented. Many thanks also to Practical Action-Peru for their collaboration, and </w:t>
      </w:r>
      <w:r w:rsidRPr="005872E2">
        <w:rPr>
          <w:rFonts w:ascii="Arial" w:hAnsi="Arial" w:cs="Arial"/>
        </w:rPr>
        <w:lastRenderedPageBreak/>
        <w:t>to the Centro de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Cooperación al Desarrollo of our University who granted this research through Adsideo 2010, and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special thanks to José Sastre for his involvement during the fieldwork.</w:t>
      </w:r>
    </w:p>
    <w:p w:rsidR="00322FB2" w:rsidRPr="005872E2" w:rsidRDefault="00322FB2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:rsidR="00C36E58" w:rsidRPr="00322FB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2FB2">
        <w:rPr>
          <w:rFonts w:ascii="Arial" w:hAnsi="Arial" w:cs="Arial"/>
          <w:b/>
          <w:sz w:val="24"/>
          <w:szCs w:val="24"/>
        </w:rPr>
        <w:t>References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Agarwal, B. 1994. “Gender and Command Over Property: A Critical Gap in Economic Analysis and Policy in South Asia.” World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 22 (10): 1455–1478.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Alkire, S. 2002. Valuing Freedoms: Sen’s Capability Approach and Poverty Reduction. Oxford: Queen Elizabeth House Series in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 Studies, Oxford University Press.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Alkire, S. 2008. “Concepts and Measures of Agency.” In Arguments for a Better World: Essays in Honor of Amartya Sen.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Volume I: Ethics, Welfare and Measurement, edited by K. Basu, and K. Ravi, 455–474. Oxford: Oxford University Press.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Biggeri, M., R. Libanora, S. Mariani, and L. Menchini. 2006. “Children Conceptualizing their Capabilities: Results of a Survey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Conducted During the First Children’s World Congress on Child Labour.” Journal of Human Development and Capabilities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7 (1): 59–83.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Chambers, R., and A. Conway. 1991. “Sustainable Rural Livelihoods, Practical Concepts for the XXI Century.” IDS Discussion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Paper No. 296, Brighton, UK.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Clark, D. 2002. Visions of Development: A Study of Human Values. Cheltenham: Edward Elgar.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Clark, D. 2012. “Adaptation and Development – Issues, Evidence and Policy Relevance.” In Adaptation, Poverty and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Development. The Dynamics of Subjective Well-Being, edited by D. Clark, 1–34. Basingstoke: Palgrave Macmillan.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Coeckelbergh, M. 2011. “Human Development or Human Enhancement? A Methodological Reflection on Capabilities and the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Evaluation of Information Technologies.” Ethics and Information Technology 13 (2): 81–92.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Crocker, D. 2008. Ethics of Global Development: Agency, Capability, and Deliberative Democracy. Cambridge: Cambridge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University Press.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lastRenderedPageBreak/>
        <w:t>Fernández-Baldor, Á., A. Boni, and A. Hueso. 2012. “Technologies for Freedom: una visión de la tecnología para el desarrollo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humano.” Estudios de Economía Aplicada 30 (3): 971–996.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Fernández-Baldor, Á., A. Hueso, and A. Boni. 2012. “From Individuality to Collectivity: The Challenges for Technology-Oriented Development Projects.” In The Capability Approach, Technology and Design, edited by I. Oosterlaken, and J.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Van der Hoven, 135–152. Dordrecht: Springer.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Frediani, A. 2008. Housing freedom, Amartya Sen and urban development policies. Squatter settlement upgrading in Salvador da</w:t>
      </w:r>
      <w:r w:rsidR="00322FB2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Bahia, Brazil, Thesis dissertation, Brookes University, Oxford.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Gasper, D., and I. van Staveren. 2003. “Development as Freedom – and as What Else?” Feminist Economist 9 (2–3): 137–161.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Griffin, K. 1991. “Foreign Aid and the Cold War.” Development and change 22: 645–685.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Herrera, A. 1983. Transferencia de tecnología y tecnologías apropiadas: Contribución a una visión prospectiva a largo plazo,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Thesis dissertation, Unicamp, Campinas (Brazil).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ITDG. 2007. Organización de servicios eléctricos en poblaciones rurales aisladas, Serie de Manuales de Soluciones Prácticas,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n° 32, ITDG—Soluciones Prácticas, Lima.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Iversen, V. 2003. “Intra-household Inequality: A Challenge for the Capability Approach?” Feminist Economist 9 (2–3): 93–115.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Johnstone, J. 2007. “Technology as Empowerment: A Capability Approach to Computer Ethics.” Ethics and Information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Technology 9 (1): 73–87.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Johnstone, J. 2012. “Capabilities and Technology.” In The Good Life in a Technological Age, edited by P. Brey, A. Briggle, E.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Spence, 77–91. New York: Routledge.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Kleine, D. 2010. “ICT4WHAT?-using the Choice Framework to Operationalise the Capability Approach to Development.”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Journal of International Development 22 (5): 674–692.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Kleine, D. 2011. “The Capability Approach and the ‘Medium of Choice’: Steps Towards Conceptualising Information and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Communication Technologies for Development.” Ethics and Information Technology 13 (2): 119–130.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lastRenderedPageBreak/>
        <w:t>Kleine, D. 2013. Technologies of Choice?: ICTs, Development and the Capabilities Approach. Cambridge: MIT Press.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Mkenda-Mugittu, Vera F. 2003. “Measuring the Invisibles: Gender Mainstreaming and Monitoring Experience from a Dairy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 Project in Tanzania.” Development in Practice 13 (5): 459–473.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Motta, R. 1996. Epistemología de la Tecnología: una aproximación a la definición de tecnología y a las nociones de tecnologías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adecuadas y/o apropiadas. Buenos Aires: Vicerrectorado de Investigación, Universidad del Salvador.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Muñíz, M. 2009. Human development and autonomy in project aid: experiences from four bilateral projects in Nicaragua and El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Salvador, MGSoG Dissertation Series (4), Boekenplan, Maastricht.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Nussbaum, M. C. 2000. “Women’s Capabilities and Social Justice.” Journal of Human Development 1 (2): 219–247.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Nussbaum, M. C. 2003. “Capabilities as Fundamental Entitlements: Sen and Social Justice.” Feminist Economist 9 (2–3): 33–59.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Oosterlaken, I. 2009. “Design for Development; A Capability Approach.” Design Issues 25 (4): 91–102.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Oosterlaken, I. 2011. “Inserting Technology in the Relational Ontology of Sen’s Capability Approach.” Journal of Human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 and Capabilities 12 (3): 425–432.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Oosterlaken, I. 2012. “Inappropriate Artefacts, Unjust Design? Human Diversity as a Key Concern in the Capability Approach and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Inclusive Design.” In The Capability Approach, Technology and Design, edited by I. Oosterlaken, and J. Van der Hoven,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223–244. Dordrecht: Springer.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Oosterlaken, I. 2013. Taking a Capability Approach to Technology and Its Design; A Philosophical Exploration. Thesis dissertation,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3TU.Centre for Ethics and Technology, Delft.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Oosterlaken, I., D. Grimshaw, and P. Janssen. 2012. “Marrying the Capability Approach with Appropriate Technology and STS—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The Case of Podcasting Devices in Zimbabwe.” In The Capability Approach, Technology and Design, edited by I.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Oosterlaken and J. Van der Hoven, 113–133. Dordrecht: Springer.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lastRenderedPageBreak/>
        <w:t>Peter, F. 2003. “Gender and the Foundations of Social Choice: The Role of Situated Agency.” Feminist Economist 9 (2–3): 13–32.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Qizilbash, M. 1997. “A Weakness of the Capability Approach with Respect to Gender Justice.” Journal of International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Development 9 (2): 251–262.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Qizilbash, M. 2006. “Well-being, Adaptation and Human Limitations.” Royal Institute of Philosophy Supplements 81: 83–110.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Robb, C. 2004. “Changing Power Relations in the History of Aid.” In Inclusive Aid. Changing Power and Relationship in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International Development, edited by L. Groves and R. Hinton, 21–41. London: Earthscan.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Robeyns, I. 2000. “Un Unworkable Idea or a Promising Alternative? Sen’s Capability Approach Re-Examined.” Discussion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Paper No. 00.30. Katholieke Universiteit, Leuven.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Robeyns, I. 2003. “Sen’s Capability Approach and Gender Inequality: Selecting Relevant Capabilities.” Feminist Economist 9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(2–3): 61–92.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Robeyns, I. 2005. “The Capability Approach: A Theoretical Survey.” Journal of Human Development 6: 93–117.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Robeyns, I. 2008. “Sen’s Capability Approach and Feminist Concerns.” In The Capability Approach. Concepts, Measures and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Applications, edited by F. Comim, M. Qizilbash, and S. Alkire, 82–104. Cambridge: Cambridge University Press.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Schumacher, E. F. 1973. Small is Beautiful. Economics as if People Mattered. New York: Harper and Row.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Sen, A. 1985. “Well-being, Agency and Freedom: The Dewey Lectures 1984.” The Journal of Philosophy 82: 169–221.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Sen, A. 1987. On Ethics and Economics. Oxford: Blackwell.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Sen, A. 1992. Inequality Reexamined. New York; Oxford: Russell Sage Foundation; Clarendon Press.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Sen, A. 1999. Development as Freedom. New York: Oxford University Press.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Sen, A. 2009. The Idea of Justice. London: Allen Lane.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lastRenderedPageBreak/>
        <w:t>Teschl, M., and F. Comim. 2005. “Adaptive Preferences and Capabilities: Some Preliminary Conceptual Explorations.” Review of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Social Economy 63 (2): 229–247.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Unceta, K. 1996. “El hambre como fracaso del desarrollo.” In Incendio frío. Hambre, Alimentación, Desarrollo, edited by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B. Sutcliffe (Coord.), 57–74. Barcelona: Icaria.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Vaughan, D. 2011. “The Importance of Capabilities in the Sustainability of Information and Communications Technology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Programs: The Case of Remote Indigenous Australian Communities.” Ethics and Information Technology 13 (2): 131–150.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Wresch, W. 2009. “Progress on the Global Digital Divide: An Ethical Perspective Based on Amartya Sen’s Capabilities Model.”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Ethics and Information Technology 11 (4): 255–263.</w:t>
      </w:r>
    </w:p>
    <w:p w:rsidR="00C36E58" w:rsidRPr="005872E2" w:rsidRDefault="00C36E58" w:rsidP="00C36E5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872E2">
        <w:rPr>
          <w:rFonts w:ascii="Arial" w:hAnsi="Arial" w:cs="Arial"/>
        </w:rPr>
        <w:t>Zheng, Y. 2009. “Different Spaces for e-development: What can we Learn from the Capability Approach.” Information</w:t>
      </w:r>
      <w:r w:rsidR="00240335">
        <w:rPr>
          <w:rFonts w:ascii="Arial" w:hAnsi="Arial" w:cs="Arial"/>
        </w:rPr>
        <w:t xml:space="preserve"> </w:t>
      </w:r>
      <w:r w:rsidRPr="005872E2">
        <w:rPr>
          <w:rFonts w:ascii="Arial" w:hAnsi="Arial" w:cs="Arial"/>
        </w:rPr>
        <w:t>Technology for Development 15 (2): 66–82.</w:t>
      </w:r>
    </w:p>
    <w:sectPr w:rsidR="00C36E58" w:rsidRPr="00587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43" w:rsidRDefault="00FA3243" w:rsidP="0040460C">
      <w:pPr>
        <w:spacing w:after="0" w:line="240" w:lineRule="auto"/>
      </w:pPr>
      <w:r>
        <w:separator/>
      </w:r>
    </w:p>
  </w:endnote>
  <w:endnote w:type="continuationSeparator" w:id="0">
    <w:p w:rsidR="00FA3243" w:rsidRDefault="00FA3243" w:rsidP="0040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43" w:rsidRDefault="00FA3243" w:rsidP="0040460C">
      <w:pPr>
        <w:spacing w:after="0" w:line="240" w:lineRule="auto"/>
      </w:pPr>
      <w:r>
        <w:separator/>
      </w:r>
    </w:p>
  </w:footnote>
  <w:footnote w:type="continuationSeparator" w:id="0">
    <w:p w:rsidR="00FA3243" w:rsidRDefault="00FA3243" w:rsidP="0040460C">
      <w:pPr>
        <w:spacing w:after="0" w:line="240" w:lineRule="auto"/>
      </w:pPr>
      <w:r>
        <w:continuationSeparator/>
      </w:r>
    </w:p>
  </w:footnote>
  <w:footnote w:id="1">
    <w:p w:rsidR="0040460C" w:rsidRPr="0040460C" w:rsidRDefault="0040460C">
      <w:pPr>
        <w:pStyle w:val="Textonotapie"/>
        <w:rPr>
          <w:rFonts w:ascii="Arial" w:hAnsi="Arial" w:cs="Arial"/>
        </w:rPr>
      </w:pPr>
      <w:r w:rsidRPr="0040460C">
        <w:rPr>
          <w:rStyle w:val="Refdenotaalpie"/>
          <w:rFonts w:ascii="Arial" w:hAnsi="Arial" w:cs="Arial"/>
        </w:rPr>
        <w:footnoteRef/>
      </w:r>
      <w:r w:rsidRPr="0040460C">
        <w:rPr>
          <w:rFonts w:ascii="Arial" w:hAnsi="Arial" w:cs="Arial"/>
        </w:rPr>
        <w:t xml:space="preserve"> </w:t>
      </w:r>
      <w:r w:rsidRPr="0040460C">
        <w:rPr>
          <w:rFonts w:ascii="Arial" w:hAnsi="Arial" w:cs="Arial"/>
        </w:rPr>
        <w:t>For a more detailed literature review, see Oosterlaken (2013).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30D"/>
    <w:multiLevelType w:val="hybridMultilevel"/>
    <w:tmpl w:val="F0582198"/>
    <w:lvl w:ilvl="0" w:tplc="DF7405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8"/>
    <w:rsid w:val="000A43C9"/>
    <w:rsid w:val="00240335"/>
    <w:rsid w:val="00322FB2"/>
    <w:rsid w:val="0040460C"/>
    <w:rsid w:val="0054545B"/>
    <w:rsid w:val="005872E2"/>
    <w:rsid w:val="00A3137A"/>
    <w:rsid w:val="00B228B1"/>
    <w:rsid w:val="00C36E58"/>
    <w:rsid w:val="00D74070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20D5-1935-4AF1-B669-60A0B8F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6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04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46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D9BD-B6D1-41ED-99EB-AEBBCF00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9335</Words>
  <Characters>51344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2015-07-16T18:51:00Z</dcterms:created>
  <dcterms:modified xsi:type="dcterms:W3CDTF">2015-07-17T12:20:00Z</dcterms:modified>
</cp:coreProperties>
</file>